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预留重复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STORE02，SUP34，SKU147、SKU148。场景：交班盘点 / 预留重复。本件为商品与包装说明，用途是明确本次商业决定、证据与未授权边界。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模拟：整箱、拆零与待配件分开标单位，不把箱与件相加。</w:t>
      </w:r>
    </w:p>
    <w:p>
      <w:pPr>
        <w:pStyle w:val="Heading1"/>
      </w:pPr>
      <w:r>
        <w:t>适用条件与处置</w:t>
      </w:r>
    </w:p>
    <w:p>
      <w:r>
        <w:t>模拟：当活动预留同时被班次认作自由库存时，使用者面对预留重复时，须将商品用途限定为已核实范围：拆分预留与可分配状态后重新确认承诺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预留任务及库存查询，作为型号与适用范围的核对依据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模拟：预留过期需系统释放，不能口头忽略。真实厂商、行业和法律要求应另查可核实原始指引；这里没有生成相关阈值。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34为STORE02提供SKU147和SKU148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