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批号模糊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STORE05，SUP13，SKU105、SKU106。场景：召回通知 / 批号模糊。本件为商品与包装说明，用途是明确本次商业决定、证据与未授权边界。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模拟：目标批次标签是范围证据，系列提及与明确批次适用分开。</w:t>
      </w:r>
    </w:p>
    <w:p>
      <w:pPr>
        <w:pStyle w:val="Heading1"/>
      </w:pPr>
      <w:r>
        <w:t>适用条件与处置</w:t>
      </w:r>
    </w:p>
    <w:p>
      <w:r>
        <w:t>模拟：当通知截图缺少批次附件时，使用者面对批号模糊时，须将商品用途限定为已核实范围：请求完整来源并暂记范围未确认。本说明的判断仅针对列出的商品组合，不向相似外观或相邻批次外推。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截图缺页记录和发布方回复，作为型号与适用范围的核对依据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模拟：不能用相邻批号推断正式范围。真实厂商、行业和法律要求应另查可核实原始指引；这里没有生成相关阈值。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13为STORE05提供SKU105和SKU106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