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购物车占位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STORE05，SUP29，SKU057、SKU058。场景：预售配额 / 购物车占位。本件为商品与包装说明，用途是明确本次商业决定、证据与未授权边界。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 模拟修订已生效：修订后人工释放配额必须关联取消凭证，不接受口头说用户不要了。。</w:t>
      </w:r>
    </w:p>
    <w:p>
      <w:pPr>
        <w:pStyle w:val="Heading1"/>
      </w:pPr>
      <w:r>
        <w:t>适用条件与处置</w:t>
      </w:r>
    </w:p>
    <w:p>
      <w:r>
        <w:t>模拟：当顾客加购但未确认付款时，使用者面对购物车占位时，须将商品用途限定为已核实范围：按系统占位规则处理，不计作已售履约。本说明的判断仅针对列出的商品组合，不向相似外观或相邻批次外推。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订单状态与配额规则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模拟：购物车数量不能等同销量。真实厂商、行业和法律要求应另查可核实原始指引；这里没有生成相关阈值。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29为STORE05提供SKU057和SKU058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模拟版本2。本修订替代SYN-F29-B1-product-1-v1的角色条款；新增要求为：修订后人工释放配额必须关联取消凭证，不接受口头说用户不要了。历史日期仍按旧版判断。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