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预售配额 规格替换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STORE05，SUP29，SKU297、SKU298。场景：预售配额 / 规格替换。本件为商品与包装说明，用途是明确本次商业决定、证据与未授权边界。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模拟：预售规格变更需明确顾客原承诺，近似规格不直接替代。</w:t>
      </w:r>
    </w:p>
    <w:p>
      <w:pPr>
        <w:pStyle w:val="Heading1"/>
      </w:pPr>
      <w:r>
        <w:t>适用条件与处置</w:t>
      </w:r>
    </w:p>
    <w:p>
      <w:r>
        <w:t>模拟：当预售原规格停供而候选规格不同时，使用者面对规格替换时，须将商品用途限定为已核实范围：先提供批准选择与顾客确认后变更。本说明的判断仅针对列出的商品组合，不向相似外观或相邻批次外推。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原预售说明和用户选择，作为型号与适用范围的核对依据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模拟：候选更贵不自动替代用户同意。真实厂商、行业和法律要求应另查可核实原始指引；这里没有生成相关阈值。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29为STORE05提供SKU297和SKU298；这只是本场景供货联系。本商品与包装说明适用于这两个商品的预售配额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