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订单截单 节前预排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STORE06，SUP22，SKU123、SKU124。场景：订单截单 / 节前预排。本件为供货附件，用途是明确本次商业决定、证据与未授权边界。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模拟：截单以采购确认回执为准，聊天草稿不产生备货承诺。</w:t>
      </w:r>
    </w:p>
    <w:p>
      <w:pPr>
        <w:pStyle w:val="Heading1"/>
      </w:pPr>
      <w:r>
        <w:t>适用条件与处置</w:t>
      </w:r>
    </w:p>
    <w:p>
      <w:r>
        <w:t>模拟：当供应商进入假日前预排而门店想增加数量时，采购要求供方在回执中明确：追加需求单独审核产能，不直接改原单。未得到范围确认的行仍是待协商，不因门店已经着急用货就改成已履约。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预排清单与增量确认函，作为供方确认附件逐项回传。未取得必要批准或材料时保持待核，不直接执行放行、替换或退款。模拟盘点演练清单为36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模拟：原量确认不覆盖新增数量。真实厂商、行业和法律要求应另查可核实原始指引；这里没有生成相关阈值。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22为STORE06提供SKU123和SKU124；这只是本场景供货联系。本供货附件适用于这两个商品的订单截单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