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客户取消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STORE02，SUP02，SKU243、SKU244。场景：订单截单 / 客户取消。本件为供货附件，用途是明确本次商业决定、证据与未授权边界。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模拟：截单以采购确认回执为准，聊天草稿不产生备货承诺。</w:t>
      </w:r>
    </w:p>
    <w:p>
      <w:pPr>
        <w:pStyle w:val="Heading1"/>
      </w:pPr>
      <w:r>
        <w:t>适用条件与处置</w:t>
      </w:r>
    </w:p>
    <w:p>
      <w:r>
        <w:t>模拟：当采购确认后下游团购客户取消时，采购要求供方在回执中明确：保留供应侧订单义务，另评估可撤销行。未得到范围确认的行仍是待协商，不因门店已经着急用货就改成已履约。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团购撤销说明及供方撤单结果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模拟：客户退款不等于供方接受撤单。真实厂商、行业和法律要求应另查可核实原始指引；这里没有生成相关阈值。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02为STORE02提供SKU243和SKU244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