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破损举证 签后发现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STORE02，SUP34，SKU067、SKU068。场景：破损举证 / 签后发现。本件为供货附件，用途是明确本次商业决定、证据与未授权边界。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模拟：破损争议先保留证据，赔付需供方确认责任与范围。</w:t>
      </w:r>
    </w:p>
    <w:p>
      <w:pPr>
        <w:pStyle w:val="Heading1"/>
      </w:pPr>
      <w:r>
        <w:t>适用条件与处置</w:t>
      </w:r>
    </w:p>
    <w:p>
      <w:r>
        <w:t>模拟：当签收完成后才发现隐藏裂口时，采购要求供方在回执中明确：提交隐蔽破损申请并说明发现过程。未得到范围确认的行仍是待协商，不因门店已经着急用货就改成已履约。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签收单和首次发现照片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模拟：签收无异议也不保证获赔，需供方复核。真实厂商、行业和法律要求应另查可核实原始指引；这里没有生成相关阈值。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34为STORE02提供SKU067和SKU068；这只是本场景供货联系。本供货附件适用于这两个商品的破损举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