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杯盖兼容 压纹换版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STORE03，SUP27，SKU133、SKU134。场景：杯盖兼容 / 压纹换版。本件为供货附件，用途是明确本次商业决定、证据与未授权边界。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模拟：供方替盖需提供接口适配确认，不以同口径营销名称替代型号。</w:t>
      </w:r>
    </w:p>
    <w:p>
      <w:pPr>
        <w:pStyle w:val="Heading1"/>
      </w:pPr>
      <w:r>
        <w:t>适用条件与处置</w:t>
      </w:r>
    </w:p>
    <w:p>
      <w:r>
        <w:t>模拟：当新版杯身增压纹而旧盖测试未覆盖时，采购要求供方在回执中明确：旧兼容结果暂停外推，重做版本确认。未得到范围确认的行仍是待协商，不因门店已经着急用货就改成已履约。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杯身版次与新测试记录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模拟：包装颜色相同不能证明结构未变。真实厂商、行业和法律要求应另查可核实原始指引；这里没有生成相关阈值。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27为STORE03提供SKU133和SKU134；这只是本场景供货联系。本供货附件适用于这两个商品的杯盖兼容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