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杯盖兼容 纸套干涉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STORE01，SUP17，SKU193、SKU194。场景：杯盖兼容 / 纸套干涉。本件为供货附件，用途是明确本次商业决定、证据与未授权边界。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模拟：供方替盖需提供接口适配确认，不以同口径营销名称替代型号。</w:t>
      </w:r>
    </w:p>
    <w:p>
      <w:pPr>
        <w:pStyle w:val="Heading1"/>
      </w:pPr>
      <w:r>
        <w:t>适用条件与处置</w:t>
      </w:r>
    </w:p>
    <w:p>
      <w:r>
        <w:t>模拟：当杯盖吻合但厚纸套挤压开启部位时，采购要求供方在回执中明确：调整经批准纸套规格后再陈列。未得到范围确认的行仍是待协商，不因门店已经着急用货就改成已履约。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纸套结构图与组装观察记录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模拟：去掉纸套可能违背活动承诺，需活动负责人确认。真实厂商、行业和法律要求应另查可核实原始指引；这里没有生成相关阈值。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17为STORE01提供SKU193和SKU194；这只是本场景供货联系。本供货附件适用于这两个商品的杯盖兼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