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条码迁移 箱码混用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STORE07，SUP39，SKU077、SKU078。场景：条码迁移 / 箱码混用。本件为供货附件，用途是明确本次商业决定、证据与未授权边界。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模拟：改码供货必须附新旧码映射与生效批次。</w:t>
      </w:r>
    </w:p>
    <w:p>
      <w:pPr>
        <w:pStyle w:val="Heading1"/>
      </w:pPr>
      <w:r>
        <w:t>适用条件与处置</w:t>
      </w:r>
    </w:p>
    <w:p>
      <w:r>
        <w:t>模拟：当外箱码被印到门店单品标签时，采购要求供方在回执中明确：撤下错误标签并恢复单品码。未得到范围确认的行仍是待协商，不因门店已经着急用货就改成已履约。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外箱与单品标签对照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模拟：可扫描识别不证明结算单位正确。真实厂商、行业和法律要求应另查可核实原始指引；这里没有生成相关阈值。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39为STORE07提供SKU077和SKU078；这只是本场景供货联系。本供货附件适用于这两个商品的条码迁移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