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条码迁移 停用回滚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STORE01，SUP09，SKU257、SKU258。场景：条码迁移 / 停用回滚。本件为供货附件，用途是明确本次商业决定、证据与未授权边界。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模拟：改码供货必须附新旧码映射与生效批次。</w:t>
      </w:r>
    </w:p>
    <w:p>
      <w:pPr>
        <w:pStyle w:val="Heading1"/>
      </w:pPr>
      <w:r>
        <w:t>适用条件与处置</w:t>
      </w:r>
    </w:p>
    <w:p>
      <w:r>
        <w:t>模拟：当改码后发现映射错误需要撤回时，采购要求供方在回执中明确：恢复经确认旧配置并记录受影响交易。未得到范围确认的行仍是待协商，不因门店已经着急用货就改成已履约。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回滚审批和交易差异表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模拟：回滚不删除已产生的交易凭证。真实厂商、行业和法律要求应另查可核实原始指引；这里没有生成相关阈值。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09为STORE01提供SKU257和SKU258；这只是本场景供货联系。本供货附件适用于这两个商品的条码迁移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