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套装拆售 跨套拼装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STORE02，SUP10，SKU259、SKU260。场景：套装拆售 / 跨套拼装。本件为供货附件，用途是明确本次商业决定、证据与未授权边界。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模拟：拆售需采购确认价格与补货口径，不能从套装价随意摊派。</w:t>
      </w:r>
    </w:p>
    <w:p>
      <w:pPr>
        <w:pStyle w:val="Heading1"/>
      </w:pPr>
      <w:r>
        <w:t>适用条件与处置</w:t>
      </w:r>
    </w:p>
    <w:p>
      <w:r>
        <w:t>模拟：当两种套装缺失件互补且接口相近时，采购要求供方在回执中明确：先确认版本与整套责任，再决定重组。未得到范围确认的行仍是待协商，不因门店已经着急用货就改成已履约。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两套装版本清单和供方重组确认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模拟：零件可扣合不证明重组后的产品承诺成立。真实厂商、行业和法律要求应另查可核实原始指引；这里没有生成相关阈值。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10为STORE02提供SKU259和SKU260；这只是本场景供货联系。本供货附件适用于这两个商品的套装拆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