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替代采购 堂食改外带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STORE03，SUP11，SKU021、SKU022。场景：替代采购 / 堂食改外带。本件为供货附件，用途是明确本次商业决定、证据与未授权边界。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模拟：替代建议只有候选地位，采购批准与商品适用确认缺一不可 模拟修订已生效：修订后替代批准按用途签发，已批准堂食替代不能扩展到外卖。。</w:t>
      </w:r>
    </w:p>
    <w:p>
      <w:pPr>
        <w:pStyle w:val="Heading1"/>
      </w:pPr>
      <w:r>
        <w:t>适用条件与处置</w:t>
      </w:r>
    </w:p>
    <w:p>
      <w:r>
        <w:t>模拟：当已批准堂食容器被请求用于配送时，采购要求供方在回执中明确：重新验证配送用途，原批准暂不适用。未得到范围确认的行仍是待协商，不因门店已经着急用货就改成已履约。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原用途批准和配送要求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模拟：堂食无客诉不构成配送许可。真实厂商、行业和法律要求应另查可核实原始指引；这里没有生成相关阈值。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11为STORE03提供SKU021和SKU022；这只是本场景供货联系。本供货附件适用于这两个商品的替代采购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模拟版本2。本修订替代SYN-F11-B1-supplier-1-v1的角色条款；新增要求为：修订后替代批准按用途签发，已批准堂食替代不能扩展到外卖。历史日期仍按旧版判断。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