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会员加券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STORE01，SUP17，SKU033、SKU034。场景：优惠叠加 / 会员加券。本件为供货附件，用途是明确本次商业决定、证据与未授权边界。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 模拟修订已生效：修订后券配置必须记录互斥原因，空白排除项不代表全券叠加。。</w:t>
      </w:r>
    </w:p>
    <w:p>
      <w:pPr>
        <w:pStyle w:val="Heading1"/>
      </w:pPr>
      <w:r>
        <w:t>适用条件与处置</w:t>
      </w:r>
    </w:p>
    <w:p>
      <w:r>
        <w:t>模拟：当会员折扣与活动券同时被选择时，采购要求供方在回执中明确：按已批准组合核算，未列组合转人工确认。未得到范围确认的行仍是待协商，不因门店已经着急用货就改成已履约。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券细则和会员折扣说明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模拟：不能因系统成功扣款推断优惠有效。真实厂商、行业和法律要求应另查可核实原始指引；这里没有生成相关阈值。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17为STORE01提供SKU033和SKU034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模拟版本2。本修订替代SYN-F17-B1-supplier-1-v1的角色条款；新增要求为：修订后券配置必须记录互斥原因，空白排除项不代表全券叠加。历史日期仍按旧版判断。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