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优惠叠加 满额含赠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STORE07，SUP07，SKU093、SKU094。场景：优惠叠加 / 满额含赠。本件为供货附件，用途是明确本次商业决定、证据与未授权边界。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模拟：供应返利与门店优惠分开核算，不把未确认返利冲抵售价。</w:t>
      </w:r>
    </w:p>
    <w:p>
      <w:pPr>
        <w:pStyle w:val="Heading1"/>
      </w:pPr>
      <w:r>
        <w:t>适用条件与处置</w:t>
      </w:r>
    </w:p>
    <w:p>
      <w:r>
        <w:t>模拟：当订单金额含标价赠品用于凑门槛时，采购要求供方在回执中明确：剔除不参与金额的赠品再判断。未得到范围确认的行仍是待协商，不因门店已经着急用货就改成已履约。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订单行属性和门槛细则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模拟：赠品打印参考价不代表可计消费额。真实厂商、行业和法律要求应另查可核实原始指引；这里没有生成相关阈值。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07为STORE07提供SKU093和SKU094；这只是本场景供货联系。本供货附件适用于这两个商品的优惠叠加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