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优惠叠加 套装拆折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STORE05，SUP37，SKU153、SKU154。场景：优惠叠加 / 套装拆折。本件为供货附件，用途是明确本次商业决定、证据与未授权边界。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模拟：供应返利与门店优惠分开核算，不把未确认返利冲抵售价。</w:t>
      </w:r>
    </w:p>
    <w:p>
      <w:pPr>
        <w:pStyle w:val="Heading1"/>
      </w:pPr>
      <w:r>
        <w:t>适用条件与处置</w:t>
      </w:r>
    </w:p>
    <w:p>
      <w:r>
        <w:t>模拟：当顾客要求套装价再按子件券减免时，采购要求供方在回执中明确：核对子件券适用范围，禁止重复拆分获利。未得到范围确认的行仍是待协商，不因门店已经着急用货就改成已履约。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套装活动说明和券适用SKU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模拟：套装包含某SKU不等于套装本身可用其券。真实厂商、行业和法律要求应另查可核实原始指引；这里没有生成相关阈值。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37为STORE05提供SKU153和SKU154；这只是本场景供货联系。本供货附件适用于这两个商品的优惠叠加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