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团购自提 代理提货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STORE03，SUP19，SKU037、SKU038。场景：团购自提 / 代理提货。本件为供货附件，用途是明确本次商业决定、证据与未授权边界。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模拟：团购备货按订单确认的门店与时段，客户聊天意向不直接排产 模拟修订已生效：修订后分次领取须生成独立交接凭证，总单完成只在余量清零后确认。。</w:t>
      </w:r>
    </w:p>
    <w:p>
      <w:pPr>
        <w:pStyle w:val="Heading1"/>
      </w:pPr>
      <w:r>
        <w:t>适用条件与处置</w:t>
      </w:r>
    </w:p>
    <w:p>
      <w:r>
        <w:t>模拟：当下单人让同事到店取货且无授权时，采购要求供方在回执中明确：补齐提货授权后交付。未得到范围确认的行仍是待协商，不因门店已经着急用货就改成已履约。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订单身份与代理授权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模拟：知道电话号码不等于有权领取。真实厂商、行业和法律要求应另查可核实原始指引；这里没有生成相关阈值。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19为STORE03提供SKU037和SKU038；这只是本场景供货联系。本供货附件适用于这两个商品的团购自提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模拟版本2。本修订替代SYN-F19-B1-supplier-1-v1的角色条款；新增要求为：修订后分次领取须生成独立交接凭证，总单完成只在余量清零后确认。历史日期仍按旧版判断。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