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外卖包装 多袋错配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STORE04，SUP20，SKU039、SKU040。场景：外卖包装 / 多袋错配。本件为供货附件，用途是明确本次商业决定、证据与未授权边界。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模拟：争议结算补充：分袋清单和骑手交接记录应分别标记已取得与待补交。采购先核供方确认范围，再决定争议行是补交、撤销还是待协商；本附件不承诺赔偿金额。袋数相同不代表内容正确。 模拟修订已生效：修订后多袋订单需逐袋标明归属，单一总单贴纸不再覆盖全部袋。。</w:t>
      </w:r>
    </w:p>
    <w:p>
      <w:pPr>
        <w:pStyle w:val="Heading1"/>
      </w:pPr>
      <w:r>
        <w:t>适用条件与处置</w:t>
      </w:r>
    </w:p>
    <w:p>
      <w:r>
        <w:t>模拟：当同一订单分多袋且另一订单同时打包时，采购要求供方在回执中明确：逐袋核归属并共同交接。未得到范围确认的行仍是待协商，不因门店已经着急用货就改成已履约。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分袋清单和骑手交接记录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模拟：袋数相同不代表内容正确。真实厂商、行业和法律要求应另查可核实原始指引；这里没有生成相关阈值。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20为STORE04提供SKU039和SKU040；这只是本场景供货联系。本供货附件适用于这两个商品的外卖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模拟版本2。本修订替代SYN-F20-B1-supplier-2-v1的角色条款；新增要求为：修订后多袋订单需逐袋标明归属，单一总单贴纸不再覆盖全部袋。历史日期仍按旧版判断。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