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外卖包装 方向不明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STORE06，SUP30，SKU219、SKU220。场景：外卖包装 / 方向不明。本件为供货附件，用途是明确本次商业决定、证据与未授权边界。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模拟：争议结算补充：产品方向要求和封装照片应分别标记已取得与待补交。采购先核供方确认范围，再决定争议行是补交、撤销还是待协商；本附件不承诺赔偿金额。提醒骑手口头注意不替代必要包装标识。。</w:t>
      </w:r>
    </w:p>
    <w:p>
      <w:pPr>
        <w:pStyle w:val="Heading1"/>
      </w:pPr>
      <w:r>
        <w:t>适用条件与处置</w:t>
      </w:r>
    </w:p>
    <w:p>
      <w:r>
        <w:t>模拟：当容器需要保持方向但外袋无标识时，采购要求供方在回执中明确：补齐经批准方向提示后交接。未得到范围确认的行仍是待协商，不因门店已经着急用货就改成已履约。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产品方向要求和封装照片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模拟：提醒骑手口头注意不替代必要包装标识。真实厂商、行业和法律要求应另查可核实原始指引；这里没有生成相关阈值。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30为STORE06提供SKU219和SKU220；这只是本场景供货联系。本供货附件适用于这两个商品的外卖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