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发票对账 返利未核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STORE05，SUP21，SKU281、SKU282。场景：发票对账 / 返利未核。本件为供货附件，用途是明确本次商业决定、证据与未授权边界。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模拟：对账按已验收、退货与补交分别核实，金额相等不证明行项正确。</w:t>
      </w:r>
    </w:p>
    <w:p>
      <w:pPr>
        <w:pStyle w:val="Heading1"/>
      </w:pPr>
      <w:r>
        <w:t>适用条件与处置</w:t>
      </w:r>
    </w:p>
    <w:p>
      <w:r>
        <w:t>模拟：当门店想先扣除未确认活动返利时，采购要求供方在回执中明确：暂不冲减应付，追踪返利资格与确认。未得到范围确认的行仍是待协商，不因门店已经着急用货就改成已履约。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返利协议和确认状态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模拟：活动已结束不代表返利条件已全部满足。真实厂商、行业和法律要求应另查可核实原始指引；这里没有生成相关阈值。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21为STORE05提供SKU281和SKU282；这只是本场景供货联系。本供货附件适用于这两个商品的发票对账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