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承运交接 转包司机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STORE06，SUP22，SKU043、SKU044。场景：承运交接 / 转包司机。本件为供货附件，用途是明确本次商业决定、证据与未授权边界。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模拟：承运责任转移以双方确认交接记录为准，平台到达状态只是线索。</w:t>
      </w:r>
    </w:p>
    <w:p>
      <w:pPr>
        <w:pStyle w:val="Heading1"/>
      </w:pPr>
      <w:r>
        <w:t>适用条件与处置</w:t>
      </w:r>
    </w:p>
    <w:p>
      <w:r>
        <w:t>模拟：当到场司机不是预约承运人且称临时转包时，采购要求供方在回执中明确：核实授权后交接，未核前不放货。未得到范围确认的行仍是待协商，不因门店已经着急用货就改成已履约。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承运授权与司机身份登记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模拟：司机持有地址不等于已获委托。真实厂商、行业和法律要求应另查可核实原始指引；这里没有生成相关阈值。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22为STORE06提供SKU043和SKU044；这只是本场景供货联系。本供货附件适用于这两个商品的承运交接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