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承运交接 拆托散交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STORE04，SUP12，SKU103、SKU104。场景：承运交接 / 拆托散交。本件为供货附件，用途是明确本次商业决定、证据与未授权边界。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模拟：承运责任转移以双方确认交接记录为准，平台到达状态只是线索。</w:t>
      </w:r>
    </w:p>
    <w:p>
      <w:pPr>
        <w:pStyle w:val="Heading1"/>
      </w:pPr>
      <w:r>
        <w:t>适用条件与处置</w:t>
      </w:r>
    </w:p>
    <w:p>
      <w:r>
        <w:t>模拟：当出仓整托但门店收到散箱时，采购要求供方在回执中明确：对照箱级标签重建清单，核实拆托节点。未得到范围确认的行仍是待协商，不因门店已经着急用货就改成已履约。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出仓托盘表和到店箱清单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模拟：托数一致不能用于核散箱件数。真实厂商、行业和法律要求应另查可核实原始指引；这里没有生成相关阈值。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12为STORE04提供SKU103和SKU104；这只是本场景供货联系。本供货附件适用于这两个商品的承运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