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承运交接 交接人换班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STORE06，SUP22，SKU283、SKU284。场景：承运交接 / 交接人换班。本件为供货附件，用途是明确本次商业决定、证据与未授权边界。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模拟：承运责任转移以双方确认交接记录为准，平台到达状态只是线索。</w:t>
      </w:r>
    </w:p>
    <w:p>
      <w:pPr>
        <w:pStyle w:val="Heading1"/>
      </w:pPr>
      <w:r>
        <w:t>适用条件与处置</w:t>
      </w:r>
    </w:p>
    <w:p>
      <w:r>
        <w:t>模拟：当预约收货人离班而临时员工到场时，采购要求供方在回执中明确：核替班授权后签，注明真实交接人。未得到范围确认的行仍是待协商，不因门店已经着急用货就改成已履约。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交班授权与签收身份，作为供方确认附件逐项回传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模拟：不允许代签原收货人姓名。真实厂商、行业和法律要求应另查可核实原始指引；这里没有生成相关阈值。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22为STORE06提供SKU283和SKU284；这只是本场景供货联系。本供货附件适用于这两个商品的承运交接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