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标签改版 过敏信息缺页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STORE01，SUP25，SKU049、SKU050。场景：标签改版 / 过敏信息缺页。本件为供货附件，用途是明确本次商业决定、证据与未授权边界。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模拟：供方改版须说明变更范围，门店不得自行补造行业信息。</w:t>
      </w:r>
    </w:p>
    <w:p>
      <w:pPr>
        <w:pStyle w:val="Heading1"/>
      </w:pPr>
      <w:r>
        <w:t>适用条件与处置</w:t>
      </w:r>
    </w:p>
    <w:p>
      <w:r>
        <w:t>模拟：当新稿提及过敏信息但厂商附件缺页时，采购要求供方在回执中明确：暂停该信息发布，向厂商取完整来源。未得到范围确认的行仍是待协商，不因门店已经着急用货就改成已履约。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设计稿与附件缺页记录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模拟：不得从相似商品推测成分或过敏信息。真实厂商、行业和法律要求应另查可核实原始指引；这里没有生成相关阈值。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25为STORE01提供SKU049和SKU050；这只是本场景供货联系。本供货附件适用于这两个商品的标签改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