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跨店调拨 收店停业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STORE04，SUP28，SKU055、SKU056。场景：跨店调拨 / 收店停业。本件为供货附件，用途是明确本次商业决定、证据与未授权边界。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模拟：调拨不改变原供方条款，跨店适用需核各店批准 模拟修订已生效：修订后调拨接收必须核批次与用途，接收数量正确也不能跳过适用审核。。</w:t>
      </w:r>
    </w:p>
    <w:p>
      <w:pPr>
        <w:pStyle w:val="Heading1"/>
      </w:pPr>
      <w:r>
        <w:t>适用条件与处置</w:t>
      </w:r>
    </w:p>
    <w:p>
      <w:r>
        <w:t>模拟：当调拨发出后接收店临时停业时，采购要求供方在回执中明确：改约或回运并保留在途状态。未得到范围确认的行仍是待协商，不因门店已经着急用货就改成已履约。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停业通知与运输处置确认，作为供方确认附件逐项回传。未取得必要批准或材料时保持待核，不直接执行放行、替换或退款。模拟盘点演练清单为42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模拟：不能默认保安代收入库。真实厂商、行业和法律要求应另查可核实原始指引；这里没有生成相关阈值。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28为STORE04提供SKU055和SKU056；这只是本场景供货联系。本供货附件适用于这两个商品的跨店调拨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模拟版本2。本修订替代SYN-F28-B1-supplier-1-v1的角色条款；新增要求为：修订后调拨接收必须核批次与用途，接收数量正确也不能跳过适用审核。历史日期仍按旧版判断。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