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拆箱转运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STORE08，SUP08，SKU175、SKU176。场景：跨店调拨 / 拆箱转运。本件为供货附件，用途是明确本次商业决定、证据与未授权边界。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模拟：调拨不改变原供方条款，跨店适用需核各店批准。</w:t>
      </w:r>
    </w:p>
    <w:p>
      <w:pPr>
        <w:pStyle w:val="Heading1"/>
      </w:pPr>
      <w:r>
        <w:t>适用条件与处置</w:t>
      </w:r>
    </w:p>
    <w:p>
      <w:r>
        <w:t>模拟：当整箱分给多店而追溯标签只有一张时，采购要求供方在回执中明确：给各分箱建立可核对批次关联。未得到范围确认的行仍是待协商，不因门店已经着急用货就改成已履约。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箱标签与分箱清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模拟：复印标签必须对应真实分货，不能随意贴给其他批次。真实厂商、行业和法律要求应另查可核实原始指引；这里没有生成相关阈值。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08为STORE08提供SKU175和SKU176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