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包装回收 退押离线 供货附件 识别交接补充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STORE06，SUP30，SKU299、SKU300。场景：包装回收 / 退押离线。本件为供货附件，用途是明确本次商业决定、证据与未授权边界。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模拟：争议结算补充：接收记录与后续退款流水应分别标记已取得与待补交。采购先核供方确认范围，再决定争议行是补交、撤销还是待协商；本附件不承诺赔偿金额。实物接收不等于资金已经退回。。</w:t>
      </w:r>
    </w:p>
    <w:p>
      <w:pPr>
        <w:pStyle w:val="Heading1"/>
      </w:pPr>
      <w:r>
        <w:t>适用条件与处置</w:t>
      </w:r>
    </w:p>
    <w:p>
      <w:r>
        <w:t>模拟：当容器已收到但退款系统不可用时，采购要求供方在回执中明确：出具接收待退款凭证，恢复后核账。未得到范围确认的行仍是待协商，不因门店已经着急用货就改成已履约。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接收记录与后续退款流水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模拟：实物接收不等于资金已经退回。真实厂商、行业和法律要求应另查可核实原始指引；这里没有生成相关阈值。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30为STORE06提供SKU299和SKU300；这只是本场景供货联系。本供货附件适用于这两个商品的包装回收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