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模拟 包装回收 异店归还 活动执行要求 主件</w:t>
      </w:r>
    </w:p>
    <w:p>
      <w:r>
        <w:t>模拟 SYNTHETIC 商业流程夹具；非真实门店政策；不提供食品安全或法律数值。</w:t>
      </w:r>
    </w:p>
    <w:p>
      <w:pPr>
        <w:pStyle w:val="Heading1"/>
      </w:pPr>
      <w:r>
        <w:t>范围与身份</w:t>
      </w:r>
    </w:p>
    <w:p>
      <w:r>
        <w:t>模拟 STORE06，SUP30，SKU059、SKU060。场景：包装回收 / 异店归还。本件为活动执行要求，用途是明确本次商业决定、证据与未授权边界。</w:t>
      </w:r>
    </w:p>
    <w:p>
      <w:pPr>
        <w:pStyle w:val="Heading1"/>
      </w:pPr>
      <w:r>
        <w:t>角色条款</w:t>
      </w:r>
    </w:p>
    <w:p>
      <w:r>
        <w:t>模拟：活动借用周转物应记录领还，不把赠品包装混作押金物 模拟修订已生效：修订后退押需关联原领用记录，单凭带回同款容器不能确认押金权利。。</w:t>
      </w:r>
    </w:p>
    <w:p>
      <w:pPr>
        <w:pStyle w:val="Heading1"/>
      </w:pPr>
      <w:r>
        <w:t>适用条件与处置</w:t>
      </w:r>
    </w:p>
    <w:p>
      <w:r>
        <w:t>模拟：当顾客到非领用店退回周转箱时，活动负责人遇到异店归还时采用：按跨店归还授权处理，先查原领用。已作出的用户承诺另核原版本，未核实部分暂停新增宣传，恢复前要更新并复核对客说明。</w:t>
      </w:r>
    </w:p>
    <w:p>
      <w:pPr>
        <w:pStyle w:val="Heading1"/>
      </w:pPr>
      <w:r>
        <w:t>所需材料与数量口径</w:t>
      </w:r>
    </w:p>
    <w:p>
      <w:r>
        <w:t>模拟：需要领用凭证和跨店规则，在恢复宣传前由活动负责人核对。未取得必要批准或材料时保持待核，不直接执行放行、替换或退款。模拟盘点演练清单为12件，仅用于本次交接演练。该数量不是食品安全阈值或法定要求。</w:t>
      </w:r>
    </w:p>
    <w:p>
      <w:pPr>
        <w:pStyle w:val="Heading1"/>
      </w:pPr>
      <w:r>
        <w:t>例外及未确认范围</w:t>
      </w:r>
    </w:p>
    <w:p>
      <w:r>
        <w:t>模拟：同品牌门店不一定可办理退押。真实厂商、行业和法律要求应另查可核实原始指引；这里没有生成相关阈值。</w:t>
      </w:r>
    </w:p>
    <w:p>
      <w:pPr>
        <w:pStyle w:val="Heading1"/>
      </w:pPr>
      <w:r>
        <w:t>供货联系与适用范围</w:t>
      </w:r>
    </w:p>
    <w:p>
      <w:r>
        <w:t>模拟供货事实：SUP30为STORE06提供SKU059和SKU060；这只是本场景供货联系。本活动执行要求适用于这两个商品的包装回收事项。联系存在不代表允许替代，本记录没有声称列全全部下游门店；实时数量、现价、任务状态须查询业务系统。</w:t>
      </w:r>
    </w:p>
    <w:p>
      <w:pPr>
        <w:pStyle w:val="Heading1"/>
      </w:pPr>
      <w:r>
        <w:t>版本与有效期</w:t>
      </w:r>
    </w:p>
    <w:p>
      <w:r>
        <w:t>模拟版本2。本修订替代SYN-F30-B1-campaign-1-v1的角色条款；新增要求为：修订后退押需关联原领用记录，单凭带回同款容器不能确认押金权利。历史日期仍按旧版判断。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ShopSteward synthetic corpus</dc:creator>
  <cp:keywords/>
  <dc:description>generated by python-docx</dc:description>
  <cp:lastModifiedBy/>
  <cp:revision>1</cp:revision>
  <dcterms:created xsi:type="dcterms:W3CDTF">2026-09-07T00:00:00Z</dcterms:created>
  <dcterms:modified xsi:type="dcterms:W3CDTF">2026-09-07T00:00:00Z</dcterms:modified>
  <cp:category/>
</cp:coreProperties>
</file>