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拆零混计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STORE06，SUP14，SKU027、SKU028。场景：交班盘点 / 拆零混计。本件为商品与包装说明，用途是明确本次商业决定、证据与未授权边界。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 模拟修订已生效：修订后争议区必须双签复核，单方盘点值不能直接覆盖账面。。</w:t>
      </w:r>
    </w:p>
    <w:p>
      <w:pPr>
        <w:pStyle w:val="Heading1"/>
      </w:pPr>
      <w:r>
        <w:t>适用条件与处置</w:t>
      </w:r>
    </w:p>
    <w:p>
      <w:r>
        <w:t>模拟：当同一SKU存在整箱和散件记录时，使用者面对拆零混计时，须将商品用途限定为已核实范围：换成明确同单位后核对，保留换算依据。本说明的判断仅针对列出的商品组合，不向相似外观或相邻批次外推。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包装换算表与实点记录，作为型号与适用范围的核对依据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模拟：不使用销售页面约数代替供方装箱量。真实厂商、行业和法律要求应另查可核实原始指引；这里没有生成相关阈值。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14为STORE06提供SKU027和SKU028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模拟版本2。本修订替代SYN-F14-B1-product-1-v1的角色条款；新增要求为：修订后争议区必须双签复核，单方盘点值不能直接覆盖账面。历史日期仍按旧版判断。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