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召回通知 标签脱落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STORE07，SUP23，SKU285、SKU286。场景：召回通知 / 标签脱落。本件为商品与包装说明，用途是明确本次商业决定、证据与未授权边界。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模拟：目标批次标签是范围证据，系列提及与明确批次适用分开。</w:t>
      </w:r>
    </w:p>
    <w:p>
      <w:pPr>
        <w:pStyle w:val="Heading1"/>
      </w:pPr>
      <w:r>
        <w:t>适用条件与处置</w:t>
      </w:r>
    </w:p>
    <w:p>
      <w:r>
        <w:t>模拟：当疑似目标商品无法读取批次标签时，使用者面对标签脱落时，须将商品用途限定为已核实范围：记录身份不明并请求供方判定。本说明的判断仅针对列出的商品组合，不向相似外观或相邻批次外推。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实物照片和采购收货记录，作为型号与适用范围的核对依据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模拟：不得凭外观断言一定不受影响。真实厂商、行业和法律要求应另查可核实原始指引；这里没有生成相关阈值。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23为STORE07提供SKU285和SKU286；这只是本场景供货联系。本商品与包装说明适用于这两个商品的召回通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