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预售配额 购物车占位 商品与包装说明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STORE05，SUP29，SKU057、SKU058。场景：预售配额 / 购物车占位。本件为商品与包装说明，用途是明确本次商业决定、证据与未授权边界。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模拟：预售规格变更需明确顾客原承诺，近似规格不直接替代。</w:t>
      </w:r>
    </w:p>
    <w:p>
      <w:pPr>
        <w:pStyle w:val="Heading1"/>
      </w:pPr>
      <w:r>
        <w:t>适用条件与处置</w:t>
      </w:r>
    </w:p>
    <w:p>
      <w:r>
        <w:t>模拟：当顾客加购但未确认付款时，使用者面对购物车占位时，须将商品用途限定为已核实范围：按系统占位规则处理，不计作已售履约。本说明的判断仅针对列出的商品组合，不向相似外观或相邻批次外推。</w:t>
      </w:r>
    </w:p>
    <w:p>
      <w:pPr>
        <w:pStyle w:val="Heading1"/>
      </w:pPr>
      <w:r>
        <w:t>所需材料与数量口径</w:t>
      </w:r>
    </w:p>
    <w:p>
      <w:r>
        <w:t>模拟：需要订单状态与配额规则，作为型号与适用范围的核对依据。未取得必要批准或材料时保持待核，不直接执行放行、替换或退款。模拟盘点演练清单为6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模拟：购物车数量不能等同销量。真实厂商、行业和法律要求应另查可核实原始指引；这里没有生成相关阈值。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29为STORE05提供SKU057和SKU058；这只是本场景供货联系。本商品与包装说明适用于这两个商品的预售配额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