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预售配额 供方缩量 商品与包装说明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STORE01，SUP09，SKU177、SKU178。场景：预售配额 / 供方缩量。本件为商品与包装说明，用途是明确本次商业决定、证据与未授权边界。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模拟：预售规格变更需明确顾客原承诺，近似规格不直接替代。</w:t>
      </w:r>
    </w:p>
    <w:p>
      <w:pPr>
        <w:pStyle w:val="Heading1"/>
      </w:pPr>
      <w:r>
        <w:t>适用条件与处置</w:t>
      </w:r>
    </w:p>
    <w:p>
      <w:r>
        <w:t>模拟：当已接预售后供方确认减少交付时，使用者面对供方缩量时，须将商品用途限定为已核实范围：冻结新增承诺并按方案联系受影响用户。本说明的判断仅针对列出的商品组合，不向相似外观或相邻批次外推。</w:t>
      </w:r>
    </w:p>
    <w:p>
      <w:pPr>
        <w:pStyle w:val="Heading1"/>
      </w:pPr>
      <w:r>
        <w:t>所需材料与数量口径</w:t>
      </w:r>
    </w:p>
    <w:p>
      <w:r>
        <w:t>模拟：需要供方变更与已确认订单，作为型号与适用范围的核对依据。未取得必要批准或材料时保持待核，不直接执行放行、替换或退款。模拟盘点演练清单为30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模拟：不能删旧订单来掩盖超额。真实厂商、行业和法律要求应另查可核实原始指引；这里没有生成相关阈值。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09为STORE01提供SKU177和SKU178；这只是本场景供货联系。本商品与包装说明适用于这两个商品的预售配额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