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预售配额 渠道抢额 商品与包装说明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STORE07，SUP39，SKU237、SKU238。场景：预售配额 / 渠道抢额。本件为商品与包装说明，用途是明确本次商业决定、证据与未授权边界。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模拟：预售规格变更需明确顾客原承诺，近似规格不直接替代。</w:t>
      </w:r>
    </w:p>
    <w:p>
      <w:pPr>
        <w:pStyle w:val="Heading1"/>
      </w:pPr>
      <w:r>
        <w:t>适用条件与处置</w:t>
      </w:r>
    </w:p>
    <w:p>
      <w:r>
        <w:t>模拟：当线上与门店共享配额但终端不同步时，使用者面对渠道抢额时，须将商品用途限定为已核实范围：核统一配额状态，异常时暂停新增。本说明的判断仅针对列出的商品组合，不向相似外观或相邻批次外推。</w:t>
      </w:r>
    </w:p>
    <w:p>
      <w:pPr>
        <w:pStyle w:val="Heading1"/>
      </w:pPr>
      <w:r>
        <w:t>所需材料与数量口径</w:t>
      </w:r>
    </w:p>
    <w:p>
      <w:r>
        <w:t>模拟：需要渠道订单与配额流水，作为型号与适用范围的核对依据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模拟：各端显示有额不能证明总额未超。真实厂商、行业和法律要求应另查可核实原始指引；这里没有生成相关阈值。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39为STORE07提供SKU237和SKU238；这只是本场景供货联系。本商品与包装说明适用于这两个商品的预售配额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