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订单截单 回执延迟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STORE02，SUP02，SKU003、SKU004。场景：订单截单 / 回执延迟。本件为供货附件，用途是明确本次商业决定、证据与未授权边界。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模拟：截单以采购确认回执为准，聊天草稿不产生备货承诺 模拟修订已生效：修订后补单独立生成确认回执，不再接受在旧单备注追加。。</w:t>
      </w:r>
    </w:p>
    <w:p>
      <w:pPr>
        <w:pStyle w:val="Heading1"/>
      </w:pPr>
      <w:r>
        <w:t>适用条件与处置</w:t>
      </w:r>
    </w:p>
    <w:p>
      <w:r>
        <w:t>模拟：当门店已提交而供应端尚未确认时，采购要求供方在回执中明确：保留待确认状态，采购追问是否进入生产排程。未得到范围确认的行仍是待协商，不因门店已经着急用货就改成已履约。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提交日志和供应商正式回执，作为供方确认附件逐项回传。未取得必要批准或材料时保持待核，不直接执行放行、替换或退款。模拟盘点演练清单为12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模拟：发送成功截图不能代替供应确认。真实厂商、行业和法律要求应另查可核实原始指引；这里没有生成相关阈值。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02为STORE02提供SKU003和SKU004；这只是本场景供货联系。本供货附件适用于这两个商品的订单截单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模拟版本2。本修订替代SYN-F02-B1-supplier-1-v1的角色条款；新增要求为：修订后补单独立生成确认回执，不再接受在旧单备注追加。历史日期仍按旧版判断。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