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订单截单 规格改订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STORE04，SUP12，SKU183、SKU184。场景：订单截单 / 规格改订。本件为供货附件，用途是明确本次商业决定、证据与未授权边界。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模拟：截单以采购确认回执为准，聊天草稿不产生备货承诺。</w:t>
      </w:r>
    </w:p>
    <w:p>
      <w:pPr>
        <w:pStyle w:val="Heading1"/>
      </w:pPr>
      <w:r>
        <w:t>适用条件与处置</w:t>
      </w:r>
    </w:p>
    <w:p>
      <w:r>
        <w:t>模拟：当截单后要求从整箱转成混箱时，采购要求供方在回执中明确：撤回原拣货任务后才允许重排。未得到范围确认的行仍是待协商，不因门店已经着急用货就改成已履约。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撤回回执和新版规格行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模拟：若原件已出库，仅处理退换申请。真实厂商、行业和法律要求应另查可核实原始指引；这里没有生成相关阈值。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12为STORE04提供SKU183和SKU184；这只是本场景供货联系。本供货附件适用于这两个商品的订单截单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