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主货先到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STORE03，SUP03，SKU005、SKU006。场景：分批配送 / 主货先到。本件为供货附件，用途是明确本次商业决定、证据与未授权边界。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 模拟修订已生效：修订后末批也必须出具差异清单，空白签收不再代表全交。。</w:t>
      </w:r>
    </w:p>
    <w:p>
      <w:pPr>
        <w:pStyle w:val="Heading1"/>
      </w:pPr>
      <w:r>
        <w:t>适用条件与处置</w:t>
      </w:r>
    </w:p>
    <w:p>
      <w:r>
        <w:t>模拟：当主货抵店而配套盖仍在转运时，采购要求供方在回执中明确：主货单独入待配区，完整套装暂不上架。未得到范围确认的行仍是待协商，不因门店已经着急用货就改成已履约。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主货签收单与配件欠交清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模拟：客户明确只购主货时另开单，不假装套装齐全。真实厂商、行业和法律要求应另查可核实原始指引；这里没有生成相关阈值。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03为STORE03提供SKU005和SKU006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模拟版本2。本修订替代SYN-F03-B1-supplier-1-v1的角色条款；新增要求为：修订后末批也必须出具差异清单，空白签收不再代表全交。历史日期仍按旧版判断。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