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分批配送 跨日续送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STORE07，SUP23，SKU125、SKU126。场景：分批配送 / 跨日续送。本件为供货附件，用途是明确本次商业决定、证据与未授权边界。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模拟：每批次单独签收并保留未交清单，尾款按已签数量核对。</w:t>
      </w:r>
    </w:p>
    <w:p>
      <w:pPr>
        <w:pStyle w:val="Heading1"/>
      </w:pPr>
      <w:r>
        <w:t>适用条件与处置</w:t>
      </w:r>
    </w:p>
    <w:p>
      <w:r>
        <w:t>模拟：当同单余货推迟到下一营业日时，采购要求供方在回执中明确：跨日保持欠货状态，交班单注明接续责任人。未得到范围确认的行仍是待协商，不因门店已经着急用货就改成已履约。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当日实收明细和次日预约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模拟：次日停业时先改约，不能默认由邻店接收。真实厂商、行业和法律要求应另查可核实原始指引；这里没有生成相关阈值。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23为STORE07提供SKU125和SKU126；这只是本场景供货联系。本供货附件适用于这两个商品的分批配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