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赠品后补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STORE03，SUP03，SKU245、SKU246。场景：分批配送 / 赠品后补。本件为供货附件，用途是明确本次商业决定、证据与未授权边界。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模拟：每批次单独签收并保留未交清单，尾款按已签数量核对。</w:t>
      </w:r>
    </w:p>
    <w:p>
      <w:pPr>
        <w:pStyle w:val="Heading1"/>
      </w:pPr>
      <w:r>
        <w:t>适用条件与处置</w:t>
      </w:r>
    </w:p>
    <w:p>
      <w:r>
        <w:t>模拟：当正价商品到齐但赠品延迟时，采购要求供方在回执中明确：确认正价履约，赠品单独追踪未完成。未得到范围确认的行仍是待协商，不因门店已经着急用货就改成已履约。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正价签收与赠品补交约定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模拟：不得以赠品未到为由把正价库存全部冻结。真实厂商、行业和法律要求应另查可核实原始指引；这里没有生成相关阈值。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03为STORE03提供SKU245和SKU246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