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破损举证 外箱凹陷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STORE04，SUP04，SKU007、SKU008。场景：破损举证 / 外箱凹陷。本件为供货附件，用途是明确本次商业决定、证据与未授权边界。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模拟：破损争议先保留证据，赔付需供方确认责任与范围 模拟修订已生效：修订后补充连续开箱记录，单张内件特写不能独立支持索赔。。</w:t>
      </w:r>
    </w:p>
    <w:p>
      <w:pPr>
        <w:pStyle w:val="Heading1"/>
      </w:pPr>
      <w:r>
        <w:t>适用条件与处置</w:t>
      </w:r>
    </w:p>
    <w:p>
      <w:r>
        <w:t>模拟：当箱角凹陷而内件尚未检查时，采购要求供方在回执中明确：标记待查并共同开箱，不能先索赔整箱。未得到范围确认的行仍是待协商，不因门店已经着急用货就改成已履约。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箱面全景与开箱连续记录，作为供方确认附件逐项回传。未取得必要批准或材料时保持待核，不直接执行放行、替换或退款。模拟盘点演练清单为24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模拟：内件完整时只记录包装损伤，不报废商品。真实厂商、行业和法律要求应另查可核实原始指引；这里没有生成相关阈值。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04为STORE04提供SKU007和SKU008；这只是本场景供货联系。本供货附件适用于这两个商品的破损举证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模拟版本2。本修订替代SYN-F04-B1-supplier-1-v1的角色条款；新增要求为：修订后补充连续开箱记录，单张内件特写不能独立支持索赔。历史日期仍按旧版判断。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