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破损举证 司机离场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STORE08，SUP24，SKU127、SKU128。场景：破损举证 / 司机离场。本件为供货附件，用途是明确本次商业决定、证据与未授权边界。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模拟：破损争议先保留证据，赔付需供方确认责任与范围。</w:t>
      </w:r>
    </w:p>
    <w:p>
      <w:pPr>
        <w:pStyle w:val="Heading1"/>
      </w:pPr>
      <w:r>
        <w:t>适用条件与处置</w:t>
      </w:r>
    </w:p>
    <w:p>
      <w:r>
        <w:t>模拟：当卸货员发现破损时司机已经离开时，采购要求供方在回执中明确：冻结争议件，要求承运端核对运输过程。未得到范围确认的行仍是待协商，不因门店已经着急用货就改成已履约。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卸货监控与联系承运记录，作为供方确认附件逐项回传。未取得必要批准或材料时保持待核，不直接执行放行、替换或退款。模拟盘点演练清单为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模拟：不得倒填司机现场确认签名。真实厂商、行业和法律要求应另查可核实原始指引；这里没有生成相关阈值。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24为STORE08提供SKU127和SKU128；这只是本场景供货联系。本供货附件适用于这两个商品的破损举证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