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封口圈缺失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STORE05，SUP05，SKU009、SKU010。场景：缺件补交 / 封口圈缺失。本件为供货附件，用途是明确本次商业决定、证据与未授权边界。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模拟：争议结算补充：部件表与开箱盘点照片应分别标记已取得与待补交。采购先核供方确认范围，再决定争议行是补交、撤销还是待协商；本附件不承诺赔偿金额。不能用外观相近胶圈直接顶替。。</w:t>
      </w:r>
    </w:p>
    <w:p>
      <w:pPr>
        <w:pStyle w:val="Heading1"/>
      </w:pPr>
      <w:r>
        <w:t>适用条件与处置</w:t>
      </w:r>
    </w:p>
    <w:p>
      <w:r>
        <w:t>模拟：当杯身和盖到齐但密封圈缺失时，采购要求供方在回执中明确：整套列待配，申请指定圈型补交。未得到范围确认的行仍是待协商，不因门店已经着急用货就改成已履约。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部件表与开箱盘点照片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模拟：不能用外观相近胶圈直接顶替。真实厂商、行业和法律要求应另查可核实原始指引；这里没有生成相关阈值。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05为STORE05提供SKU009和SKU010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