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缺件补交 补交再错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STORE05，SUP05，SKU249、SKU250。场景：缺件补交 / 补交再错。本件为供货附件，用途是明确本次商业决定、证据与未授权边界。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模拟：争议结算补充：原缺件单和补件型号对照应分别标记已取得与待补交。采购先核供方确认范围，再决定争议行是补交、撤销还是待协商；本附件不承诺赔偿金额。供应商发货截图不能证明到店部件匹配。。</w:t>
      </w:r>
    </w:p>
    <w:p>
      <w:pPr>
        <w:pStyle w:val="Heading1"/>
      </w:pPr>
      <w:r>
        <w:t>适用条件与处置</w:t>
      </w:r>
    </w:p>
    <w:p>
      <w:r>
        <w:t>模拟：当补件送达但接口版本仍旧时，采购要求供方在回执中明确：拒绝关闭原缺件单，重新登记规格不符。未得到范围确认的行仍是待协商，不因门店已经着急用货就改成已履约。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缺件单和补件型号对照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模拟：供应商发货截图不能证明到店部件匹配。真实厂商、行业和法律要求应另查可核实原始指引；这里没有生成相关阈值。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05为STORE05提供SKU249和SKU250；这只是本场景供货联系。本供货附件适用于这两个商品的缺件补交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