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起订组合 口味混拼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STORE06，SUP06，SKU011、SKU012。场景：起订组合 / 口味混拼。本件为供货附件，用途是明确本次商业决定、证据与未授权边界。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模拟：起订条件按批准组合核算，不将赠品或退换件计入订货量。</w:t>
      </w:r>
    </w:p>
    <w:p>
      <w:pPr>
        <w:pStyle w:val="Heading1"/>
      </w:pPr>
      <w:r>
        <w:t>适用条件与处置</w:t>
      </w:r>
    </w:p>
    <w:p>
      <w:r>
        <w:t>模拟：当不同口味共用箱型且供方允许混拼时，采购要求供方在回执中明确：按可参与行合计，列出口味分配。未得到范围确认的行仍是待协商，不因门店已经着急用货就改成已履约。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混拼授权与装箱规格表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模拟：不同箱型的相似口味不加入同一组合。真实厂商、行业和法律要求应另查可核实原始指引；这里没有生成相关阈值。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06为STORE06提供SKU011和SKU012；这只是本场景供货联系。本供货附件适用于这两个商品的起订组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