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起订组合 双店并单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STORE02，SUP26，SKU131、SKU132。场景：起订组合 / 双店并单。本件为供货附件，用途是明确本次商业决定、证据与未授权边界。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模拟：起订条件按批准组合核算，不将赠品或退换件计入订货量。</w:t>
      </w:r>
    </w:p>
    <w:p>
      <w:pPr>
        <w:pStyle w:val="Heading1"/>
      </w:pPr>
      <w:r>
        <w:t>适用条件与处置</w:t>
      </w:r>
    </w:p>
    <w:p>
      <w:r>
        <w:t>模拟：当两店分别不足而共用配送仓时，采购要求供方在回执中明确：先取得联合采购授权再合并核量。未得到范围确认的行仍是待协商，不因门店已经着急用货就改成已履约。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联合采购单和分店分货表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模拟：同品牌门店关系不自动产生并单权限。真实厂商、行业和法律要求应另查可核实原始指引；这里没有生成相关阈值。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26为STORE02提供SKU131和SKU132；这只是本场景供货联系。本供货附件适用于这两个商品的起订组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