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客退残套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STORE06，SUP30，SKU139、SKU140。场景：套装拆售 / 客退残套。本件为供货附件，用途是明确本次商业决定、证据与未授权边界。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模拟：拆售需采购确认价格与补货口径，不能从套装价随意摊派。</w:t>
      </w:r>
    </w:p>
    <w:p>
      <w:pPr>
        <w:pStyle w:val="Heading1"/>
      </w:pPr>
      <w:r>
        <w:t>适用条件与处置</w:t>
      </w:r>
    </w:p>
    <w:p>
      <w:r>
        <w:t>模拟：当顾客退回套装中部分组件时，采购要求供方在回执中明确：进入退货复核，不能拼回新套装直接售卖。未得到范围确认的行仍是待协商，不因门店已经着急用货就改成已履约。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订单及退回件状态记录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模拟：外观完整不能证明未被使用。真实厂商、行业和法律要求应另查可核实原始指引；这里没有生成相关阈值。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139和SKU140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