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返仓包装 部件混装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STORE02，SUP02，SKU083、SKU084。场景：返仓包装 / 部件混装。本件为供货附件，用途是明确本次商业决定、证据与未授权边界。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模拟：返仓接受以退货授权指定包装为准，不能拿采购包装图当退货约定。</w:t>
      </w:r>
    </w:p>
    <w:p>
      <w:pPr>
        <w:pStyle w:val="Heading1"/>
      </w:pPr>
      <w:r>
        <w:t>适用条件与处置</w:t>
      </w:r>
    </w:p>
    <w:p>
      <w:r>
        <w:t>模拟：当多个退货型号共用一个箱且无内袋时，采购要求供方在回执中明确：拆分标记各型号部件后再封箱。未得到范围确认的行仍是待协商，不因门店已经着急用货就改成已履约。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退货行清单和分袋照片，作为供方确认附件逐项回传。未取得必要批准或材料时保持待核，不直接执行放行、替换或退款。模拟盘点演练清单为42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模拟：总件数正确不能替代型号对应。真实厂商、行业和法律要求应另查可核实原始指引；这里没有生成相关阈值。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02为STORE02提供SKU083和SKU084；这只是本场景供货联系。本供货附件适用于这两个商品的返仓包装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