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返仓包装 授权部分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STORE06，SUP22，SKU203、SKU204。场景：返仓包装 / 授权部分。本件为供货附件，用途是明确本次商业决定、证据与未授权边界。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模拟：返仓接受以退货授权指定包装为准，不能拿采购包装图当退货约定。</w:t>
      </w:r>
    </w:p>
    <w:p>
      <w:pPr>
        <w:pStyle w:val="Heading1"/>
      </w:pPr>
      <w:r>
        <w:t>适用条件与处置</w:t>
      </w:r>
    </w:p>
    <w:p>
      <w:r>
        <w:t>模拟：当申请退整批但供方只批准部分行时，采购要求供方在回执中明确：只发已批准行，余货等待处置。未得到范围确认的行仍是待协商，不因门店已经着急用货就改成已履约。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逐行授权结果和装箱清单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模拟：审批总备注同意不覆盖标记拒绝的行。真实厂商、行业和法律要求应另查可核实原始指引；这里没有生成相关阈值。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22为STORE06提供SKU203和SKU204；这只是本场景供货联系。本供货附件适用于这两个商品的返仓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