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返仓包装 展示磨损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STORE04，SUP12，SKU263、SKU264。场景：返仓包装 / 展示磨损。本件为供货附件，用途是明确本次商业决定、证据与未授权边界。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模拟：返仓接受以退货授权指定包装为准，不能拿采购包装图当退货约定。</w:t>
      </w:r>
    </w:p>
    <w:p>
      <w:pPr>
        <w:pStyle w:val="Heading1"/>
      </w:pPr>
      <w:r>
        <w:t>适用条件与处置</w:t>
      </w:r>
    </w:p>
    <w:p>
      <w:r>
        <w:t>模拟：当活动展示样件有划痕但退货授权未披露时，采购要求供方在回执中明确：补充状态说明请供方重审。未得到范围确认的行仍是待协商，不因门店已经着急用货就改成已履约。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样件照片和原申请，作为供方确认附件逐项回传。未取得必要批准或材料时保持待核，不直接执行放行、替换或退款。模拟盘点演练清单为36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模拟：不能按未拆封新品条件直接寄回。真实厂商、行业和法律要求应另查可核实原始指引；这里没有生成相关阈值。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12为STORE04提供SKU263和SKU264；这只是本场景供货联系。本供货附件适用于这两个商品的返仓包装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