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临店有货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STORE05，SUP05，SKU089、SKU090。场景：开店缺货 / 临店有货。本件为供货附件，用途是明确本次商业决定、证据与未授权边界。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模拟：争议结算补充：邻店库存和调拨批准应分别标记已取得与待补交。采购先核供方确认范围，再决定争议行是补交、撤销还是待协商；本附件不承诺赔偿金额。看见邻店货架照片不代表本店可售。。</w:t>
      </w:r>
    </w:p>
    <w:p>
      <w:pPr>
        <w:pStyle w:val="Heading1"/>
      </w:pPr>
      <w:r>
        <w:t>适用条件与处置</w:t>
      </w:r>
    </w:p>
    <w:p>
      <w:r>
        <w:t>模拟：当邻店确有库存但调拨未审批时，采购要求供方在回执中明确：申请调拨及运输后再承诺补货。未得到范围确认的行仍是待协商，不因门店已经着急用货就改成已履约。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邻店库存和调拨批准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模拟：看见邻店货架照片不代表本店可售。真实厂商、行业和法律要求应另查可核实原始指引；这里没有生成相关阈值。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089和SKU090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