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优惠叠加 配置迟更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STORE01，SUP17，SKU273、SKU274。场景：优惠叠加 / 配置迟更。本件为供货附件，用途是明确本次商业决定、证据与未授权边界。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模拟：供应返利与门店优惠分开核算，不把未确认返利冲抵售价。</w:t>
      </w:r>
    </w:p>
    <w:p>
      <w:pPr>
        <w:pStyle w:val="Heading1"/>
      </w:pPr>
      <w:r>
        <w:t>适用条件与处置</w:t>
      </w:r>
    </w:p>
    <w:p>
      <w:r>
        <w:t>模拟：当文案改版已批准而终端仍旧配置时，采购要求供方在回执中明确：暂停有冲突券种核销，修复后验证。未得到范围确认的行仍是待协商，不因门店已经着急用货就改成已履约。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版本发布时间和终端配置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模拟：最新上传文档不是所有已领券用户的生效版本。真实厂商、行业和法律要求应另查可核实原始指引；这里没有生成相关阈值。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17为STORE01提供SKU273和SKU274；这只是本场景供货联系。本供货附件适用于这两个商品的优惠叠加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